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33650" w14:textId="5A0CD935" w:rsidR="007B737F" w:rsidRPr="00920EDB" w:rsidRDefault="00D513DE" w:rsidP="00D513DE">
      <w:pPr>
        <w:pStyle w:val="Heading1"/>
        <w:rPr>
          <w:rFonts w:asciiTheme="minorHAnsi" w:hAnsiTheme="minorHAnsi" w:cstheme="minorHAnsi"/>
          <w:sz w:val="22"/>
          <w:szCs w:val="22"/>
        </w:rPr>
      </w:pPr>
      <w:bookmarkStart w:id="0" w:name="_GoBack"/>
      <w:bookmarkEnd w:id="0"/>
      <w:r w:rsidRPr="00920EDB">
        <w:rPr>
          <w:rFonts w:asciiTheme="minorHAnsi" w:hAnsiTheme="minorHAnsi" w:cstheme="minorHAnsi"/>
          <w:sz w:val="22"/>
          <w:szCs w:val="22"/>
        </w:rPr>
        <w:t xml:space="preserve">Subject Access Request – process and protocol </w:t>
      </w:r>
    </w:p>
    <w:p w14:paraId="13B6B8AD" w14:textId="5E4EC040"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As an organisation we collect and process data about individuals. We explain what information we collect, and why in our privacy notices.</w:t>
      </w:r>
    </w:p>
    <w:p w14:paraId="63D7861C" w14:textId="77777777"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Any individual, or person with parental responsibility, or young person with sufficient capacity to make a request is entitled to ask what information is held. Copies of the information shall also be made available on request. A form to complete is available.</w:t>
      </w:r>
    </w:p>
    <w:p w14:paraId="5E40C207" w14:textId="1C5AF261"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To ensure that requests are dealt with in an effective and timely manner we may seek to clarify the terms of a request.</w:t>
      </w:r>
      <w:r w:rsidR="00920EDB">
        <w:rPr>
          <w:rFonts w:asciiTheme="minorHAnsi" w:hAnsiTheme="minorHAnsi" w:cstheme="minorHAnsi"/>
          <w:sz w:val="22"/>
        </w:rPr>
        <w:t xml:space="preserve"> </w:t>
      </w:r>
      <w:r w:rsidR="00920EDB" w:rsidRPr="00920EDB">
        <w:rPr>
          <w:rFonts w:asciiTheme="minorHAnsi" w:hAnsiTheme="minorHAnsi" w:cstheme="minorHAnsi"/>
          <w:sz w:val="22"/>
          <w:highlight w:val="yellow"/>
        </w:rPr>
        <w:t>The Data (Use and Access) Act (DUAA) 2025 outlines the organisation’s requirement to carry out a proportionate and reasonable search. Further details of how the school will assess and communicate this with you can be found within appendix 1.</w:t>
      </w:r>
      <w:r w:rsidR="00920EDB">
        <w:rPr>
          <w:rFonts w:asciiTheme="minorHAnsi" w:hAnsiTheme="minorHAnsi" w:cstheme="minorHAnsi"/>
          <w:sz w:val="22"/>
        </w:rPr>
        <w:t xml:space="preserve"> </w:t>
      </w:r>
    </w:p>
    <w:p w14:paraId="756068EC" w14:textId="51E69376"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 xml:space="preserve">To collate and manage requests we have designated </w:t>
      </w:r>
      <w:r w:rsidRPr="00920EDB">
        <w:rPr>
          <w:rFonts w:asciiTheme="minorHAnsi" w:hAnsiTheme="minorHAnsi" w:cstheme="minorHAnsi"/>
          <w:color w:val="FF0000"/>
          <w:sz w:val="22"/>
        </w:rPr>
        <w:t xml:space="preserve">[name, role] </w:t>
      </w:r>
      <w:r w:rsidRPr="00920EDB">
        <w:rPr>
          <w:rFonts w:asciiTheme="minorHAnsi" w:hAnsiTheme="minorHAnsi" w:cstheme="minorHAnsi"/>
          <w:sz w:val="22"/>
        </w:rPr>
        <w:t xml:space="preserve">to co-ordinate all requests. Please ensure that requests are made on the form to </w:t>
      </w:r>
      <w:r w:rsidRPr="00920EDB">
        <w:rPr>
          <w:rFonts w:asciiTheme="minorHAnsi" w:hAnsiTheme="minorHAnsi" w:cstheme="minorHAnsi"/>
          <w:color w:val="FF0000"/>
          <w:sz w:val="22"/>
        </w:rPr>
        <w:t>[name, role]</w:t>
      </w:r>
      <w:r w:rsidRPr="00920EDB">
        <w:rPr>
          <w:rFonts w:asciiTheme="minorHAnsi" w:hAnsiTheme="minorHAnsi" w:cstheme="minorHAnsi"/>
          <w:sz w:val="22"/>
        </w:rPr>
        <w:t>.</w:t>
      </w:r>
    </w:p>
    <w:p w14:paraId="0EA61289" w14:textId="3F7B0FC6"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 xml:space="preserve">Evidence of their identity, on the basis of the information set out and the signature on the identity must be cross-checked to that on the application form. Discretion about employees and persons known to the school may be applicable but if ID evidence is not required an explanation must be provided by </w:t>
      </w:r>
      <w:r w:rsidRPr="00920EDB">
        <w:rPr>
          <w:rFonts w:asciiTheme="minorHAnsi" w:hAnsiTheme="minorHAnsi" w:cstheme="minorHAnsi"/>
          <w:color w:val="FF0000"/>
          <w:sz w:val="22"/>
        </w:rPr>
        <w:t xml:space="preserve">school/academy </w:t>
      </w:r>
      <w:r w:rsidRPr="00920EDB">
        <w:rPr>
          <w:rFonts w:asciiTheme="minorHAnsi" w:hAnsiTheme="minorHAnsi" w:cstheme="minorHAnsi"/>
          <w:sz w:val="22"/>
        </w:rPr>
        <w:t>staff and signed and dated accordingly.</w:t>
      </w:r>
    </w:p>
    <w:p w14:paraId="1421BB5C" w14:textId="15B3F3AE"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Exemptions to a SAR exist and may include:</w:t>
      </w:r>
    </w:p>
    <w:p w14:paraId="6D1D64A1" w14:textId="09B1D815"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education, health, social work</w:t>
      </w:r>
      <w:r w:rsidRPr="00920EDB">
        <w:rPr>
          <w:rFonts w:asciiTheme="minorHAnsi" w:eastAsia="Microsoft GothicNeo" w:hAnsiTheme="minorHAnsi" w:cstheme="minorHAnsi"/>
          <w:spacing w:val="33"/>
        </w:rPr>
        <w:t xml:space="preserve"> </w:t>
      </w:r>
      <w:r w:rsidRPr="00920EDB">
        <w:rPr>
          <w:rFonts w:asciiTheme="minorHAnsi" w:eastAsia="Microsoft GothicNeo" w:hAnsiTheme="minorHAnsi" w:cstheme="minorHAnsi"/>
        </w:rPr>
        <w:t>records</w:t>
      </w:r>
    </w:p>
    <w:p w14:paraId="1BAA54C6" w14:textId="7E12AA91"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examination marks and</w:t>
      </w:r>
      <w:r w:rsidRPr="00920EDB">
        <w:rPr>
          <w:rFonts w:asciiTheme="minorHAnsi" w:eastAsia="Microsoft GothicNeo" w:hAnsiTheme="minorHAnsi" w:cstheme="minorHAnsi"/>
          <w:spacing w:val="-10"/>
        </w:rPr>
        <w:t xml:space="preserve"> </w:t>
      </w:r>
      <w:r w:rsidRPr="00920EDB">
        <w:rPr>
          <w:rFonts w:asciiTheme="minorHAnsi" w:eastAsia="Microsoft GothicNeo" w:hAnsiTheme="minorHAnsi" w:cstheme="minorHAnsi"/>
        </w:rPr>
        <w:t>scripts</w:t>
      </w:r>
    </w:p>
    <w:p w14:paraId="7082F323" w14:textId="466876DF"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safeguarding</w:t>
      </w:r>
      <w:r w:rsidRPr="00920EDB">
        <w:rPr>
          <w:rFonts w:asciiTheme="minorHAnsi" w:eastAsia="Microsoft GothicNeo" w:hAnsiTheme="minorHAnsi" w:cstheme="minorHAnsi"/>
          <w:spacing w:val="-7"/>
        </w:rPr>
        <w:t xml:space="preserve"> </w:t>
      </w:r>
      <w:r w:rsidRPr="00920EDB">
        <w:rPr>
          <w:rFonts w:asciiTheme="minorHAnsi" w:eastAsia="Microsoft GothicNeo" w:hAnsiTheme="minorHAnsi" w:cstheme="minorHAnsi"/>
        </w:rPr>
        <w:t>records</w:t>
      </w:r>
    </w:p>
    <w:p w14:paraId="6AB6834B" w14:textId="4A11788C"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special educational</w:t>
      </w:r>
      <w:r w:rsidRPr="00920EDB">
        <w:rPr>
          <w:rFonts w:asciiTheme="minorHAnsi" w:eastAsia="Microsoft GothicNeo" w:hAnsiTheme="minorHAnsi" w:cstheme="minorHAnsi"/>
          <w:spacing w:val="-7"/>
        </w:rPr>
        <w:t xml:space="preserve"> </w:t>
      </w:r>
      <w:r w:rsidRPr="00920EDB">
        <w:rPr>
          <w:rFonts w:asciiTheme="minorHAnsi" w:eastAsia="Microsoft GothicNeo" w:hAnsiTheme="minorHAnsi" w:cstheme="minorHAnsi"/>
        </w:rPr>
        <w:t>needs</w:t>
      </w:r>
    </w:p>
    <w:p w14:paraId="76D7BE91" w14:textId="5471874A"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parental records and</w:t>
      </w:r>
      <w:r w:rsidRPr="00920EDB">
        <w:rPr>
          <w:rFonts w:asciiTheme="minorHAnsi" w:eastAsia="Microsoft GothicNeo" w:hAnsiTheme="minorHAnsi" w:cstheme="minorHAnsi"/>
          <w:spacing w:val="-11"/>
        </w:rPr>
        <w:t xml:space="preserve"> </w:t>
      </w:r>
      <w:r w:rsidRPr="00920EDB">
        <w:rPr>
          <w:rFonts w:asciiTheme="minorHAnsi" w:eastAsia="Microsoft GothicNeo" w:hAnsiTheme="minorHAnsi" w:cstheme="minorHAnsi"/>
        </w:rPr>
        <w:t>reports</w:t>
      </w:r>
    </w:p>
    <w:p w14:paraId="4DB6B736" w14:textId="2D7975BA"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legal advice and</w:t>
      </w:r>
      <w:r w:rsidRPr="00920EDB">
        <w:rPr>
          <w:rFonts w:asciiTheme="minorHAnsi" w:eastAsia="Microsoft GothicNeo" w:hAnsiTheme="minorHAnsi" w:cstheme="minorHAnsi"/>
          <w:spacing w:val="-13"/>
        </w:rPr>
        <w:t xml:space="preserve"> </w:t>
      </w:r>
      <w:r w:rsidRPr="00920EDB">
        <w:rPr>
          <w:rFonts w:asciiTheme="minorHAnsi" w:eastAsia="Microsoft GothicNeo" w:hAnsiTheme="minorHAnsi" w:cstheme="minorHAnsi"/>
        </w:rPr>
        <w:t>proceedings</w:t>
      </w:r>
    </w:p>
    <w:p w14:paraId="759F7A3D" w14:textId="2ACEB15A"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adoption and court records and/or</w:t>
      </w:r>
      <w:r w:rsidRPr="00920EDB">
        <w:rPr>
          <w:rFonts w:asciiTheme="minorHAnsi" w:eastAsia="Microsoft GothicNeo" w:hAnsiTheme="minorHAnsi" w:cstheme="minorHAnsi"/>
          <w:spacing w:val="-15"/>
        </w:rPr>
        <w:t xml:space="preserve"> </w:t>
      </w:r>
      <w:r w:rsidRPr="00920EDB">
        <w:rPr>
          <w:rFonts w:asciiTheme="minorHAnsi" w:eastAsia="Microsoft GothicNeo" w:hAnsiTheme="minorHAnsi" w:cstheme="minorHAnsi"/>
        </w:rPr>
        <w:t>reports</w:t>
      </w:r>
    </w:p>
    <w:p w14:paraId="02217E62" w14:textId="72B92275"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regulatory activity and official requests e.g. DfE statistical</w:t>
      </w:r>
      <w:r w:rsidRPr="00920EDB">
        <w:rPr>
          <w:rFonts w:asciiTheme="minorHAnsi" w:eastAsia="Microsoft GothicNeo" w:hAnsiTheme="minorHAnsi" w:cstheme="minorHAnsi"/>
          <w:spacing w:val="-29"/>
        </w:rPr>
        <w:t xml:space="preserve"> </w:t>
      </w:r>
      <w:r w:rsidRPr="00920EDB">
        <w:rPr>
          <w:rFonts w:asciiTheme="minorHAnsi" w:eastAsia="Microsoft GothicNeo" w:hAnsiTheme="minorHAnsi" w:cstheme="minorHAnsi"/>
        </w:rPr>
        <w:t>information</w:t>
      </w:r>
    </w:p>
    <w:p w14:paraId="59FA31C5" w14:textId="34026737"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national security, crime and</w:t>
      </w:r>
      <w:r w:rsidRPr="00920EDB">
        <w:rPr>
          <w:rFonts w:asciiTheme="minorHAnsi" w:eastAsia="Microsoft GothicNeo" w:hAnsiTheme="minorHAnsi" w:cstheme="minorHAnsi"/>
          <w:spacing w:val="-14"/>
        </w:rPr>
        <w:t xml:space="preserve"> </w:t>
      </w:r>
      <w:r w:rsidRPr="00920EDB">
        <w:rPr>
          <w:rFonts w:asciiTheme="minorHAnsi" w:eastAsia="Microsoft GothicNeo" w:hAnsiTheme="minorHAnsi" w:cstheme="minorHAnsi"/>
        </w:rPr>
        <w:t>taxation</w:t>
      </w:r>
    </w:p>
    <w:p w14:paraId="6E5426EF" w14:textId="1AFE31F0"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journalism, literature and</w:t>
      </w:r>
      <w:r w:rsidRPr="00920EDB">
        <w:rPr>
          <w:rFonts w:asciiTheme="minorHAnsi" w:eastAsia="Microsoft GothicNeo" w:hAnsiTheme="minorHAnsi" w:cstheme="minorHAnsi"/>
          <w:spacing w:val="-14"/>
        </w:rPr>
        <w:t xml:space="preserve"> </w:t>
      </w:r>
      <w:r w:rsidRPr="00920EDB">
        <w:rPr>
          <w:rFonts w:asciiTheme="minorHAnsi" w:eastAsia="Microsoft GothicNeo" w:hAnsiTheme="minorHAnsi" w:cstheme="minorHAnsi"/>
        </w:rPr>
        <w:t>art</w:t>
      </w:r>
    </w:p>
    <w:p w14:paraId="2D66A3E6" w14:textId="124D9B16"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research history, and</w:t>
      </w:r>
      <w:r w:rsidRPr="00920EDB">
        <w:rPr>
          <w:rFonts w:asciiTheme="minorHAnsi" w:eastAsia="Microsoft GothicNeo" w:hAnsiTheme="minorHAnsi" w:cstheme="minorHAnsi"/>
          <w:spacing w:val="-12"/>
        </w:rPr>
        <w:t xml:space="preserve"> </w:t>
      </w:r>
      <w:r w:rsidRPr="00920EDB">
        <w:rPr>
          <w:rFonts w:asciiTheme="minorHAnsi" w:eastAsia="Microsoft GothicNeo" w:hAnsiTheme="minorHAnsi" w:cstheme="minorHAnsi"/>
        </w:rPr>
        <w:t>statistics</w:t>
      </w:r>
    </w:p>
    <w:p w14:paraId="55AA78CF" w14:textId="6D48708D" w:rsidR="00D513DE" w:rsidRPr="00920EDB" w:rsidRDefault="00D513DE" w:rsidP="00D513DE">
      <w:pPr>
        <w:pStyle w:val="ListParagraph"/>
        <w:numPr>
          <w:ilvl w:val="0"/>
          <w:numId w:val="3"/>
        </w:numPr>
        <w:rPr>
          <w:rFonts w:asciiTheme="minorHAnsi" w:eastAsia="Microsoft GothicNeo" w:hAnsiTheme="minorHAnsi" w:cstheme="minorHAnsi"/>
        </w:rPr>
      </w:pPr>
      <w:r w:rsidRPr="00920EDB">
        <w:rPr>
          <w:rFonts w:asciiTheme="minorHAnsi" w:eastAsia="Microsoft GothicNeo" w:hAnsiTheme="minorHAnsi" w:cstheme="minorHAnsi"/>
        </w:rPr>
        <w:t>confidential</w:t>
      </w:r>
      <w:r w:rsidRPr="00920EDB">
        <w:rPr>
          <w:rFonts w:asciiTheme="minorHAnsi" w:eastAsia="Microsoft GothicNeo" w:hAnsiTheme="minorHAnsi" w:cstheme="minorHAnsi"/>
          <w:spacing w:val="-9"/>
        </w:rPr>
        <w:t xml:space="preserve"> </w:t>
      </w:r>
      <w:r w:rsidRPr="00920EDB">
        <w:rPr>
          <w:rFonts w:asciiTheme="minorHAnsi" w:eastAsia="Microsoft GothicNeo" w:hAnsiTheme="minorHAnsi" w:cstheme="minorHAnsi"/>
        </w:rPr>
        <w:t>references</w:t>
      </w:r>
    </w:p>
    <w:p w14:paraId="07E97744" w14:textId="0F12BBD9"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All data subjects have the right to know:</w:t>
      </w:r>
    </w:p>
    <w:p w14:paraId="22912BEB" w14:textId="77777777"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What information is</w:t>
      </w:r>
      <w:r w:rsidRPr="00920EDB">
        <w:rPr>
          <w:rFonts w:asciiTheme="minorHAnsi" w:eastAsia="Microsoft GothicNeo" w:hAnsiTheme="minorHAnsi" w:cstheme="minorHAnsi"/>
          <w:spacing w:val="-8"/>
        </w:rPr>
        <w:t xml:space="preserve"> </w:t>
      </w:r>
      <w:r w:rsidRPr="00920EDB">
        <w:rPr>
          <w:rFonts w:asciiTheme="minorHAnsi" w:eastAsia="Microsoft GothicNeo" w:hAnsiTheme="minorHAnsi" w:cstheme="minorHAnsi"/>
        </w:rPr>
        <w:t>held?</w:t>
      </w:r>
    </w:p>
    <w:p w14:paraId="364EA366" w14:textId="77777777"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Who holds</w:t>
      </w:r>
      <w:r w:rsidRPr="00920EDB">
        <w:rPr>
          <w:rFonts w:asciiTheme="minorHAnsi" w:eastAsia="Microsoft GothicNeo" w:hAnsiTheme="minorHAnsi" w:cstheme="minorHAnsi"/>
          <w:spacing w:val="-4"/>
        </w:rPr>
        <w:t xml:space="preserve"> </w:t>
      </w:r>
      <w:r w:rsidRPr="00920EDB">
        <w:rPr>
          <w:rFonts w:asciiTheme="minorHAnsi" w:eastAsia="Microsoft GothicNeo" w:hAnsiTheme="minorHAnsi" w:cstheme="minorHAnsi"/>
        </w:rPr>
        <w:t>it?</w:t>
      </w:r>
    </w:p>
    <w:p w14:paraId="01DF4F68" w14:textId="77777777"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Why is it</w:t>
      </w:r>
      <w:r w:rsidRPr="00920EDB">
        <w:rPr>
          <w:rFonts w:asciiTheme="minorHAnsi" w:eastAsia="Microsoft GothicNeo" w:hAnsiTheme="minorHAnsi" w:cstheme="minorHAnsi"/>
          <w:spacing w:val="-5"/>
        </w:rPr>
        <w:t xml:space="preserve"> </w:t>
      </w:r>
      <w:r w:rsidRPr="00920EDB">
        <w:rPr>
          <w:rFonts w:asciiTheme="minorHAnsi" w:eastAsia="Microsoft GothicNeo" w:hAnsiTheme="minorHAnsi" w:cstheme="minorHAnsi"/>
        </w:rPr>
        <w:t>held?</w:t>
      </w:r>
    </w:p>
    <w:p w14:paraId="6EF609F7" w14:textId="44BB855C"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What are the retention</w:t>
      </w:r>
      <w:r w:rsidRPr="00920EDB">
        <w:rPr>
          <w:rFonts w:asciiTheme="minorHAnsi" w:eastAsia="Microsoft GothicNeo" w:hAnsiTheme="minorHAnsi" w:cstheme="minorHAnsi"/>
          <w:spacing w:val="-10"/>
        </w:rPr>
        <w:t xml:space="preserve"> </w:t>
      </w:r>
      <w:r w:rsidRPr="00920EDB">
        <w:rPr>
          <w:rFonts w:asciiTheme="minorHAnsi" w:eastAsia="Microsoft GothicNeo" w:hAnsiTheme="minorHAnsi" w:cstheme="minorHAnsi"/>
        </w:rPr>
        <w:t>periods?</w:t>
      </w:r>
    </w:p>
    <w:p w14:paraId="6FE949FB" w14:textId="352124CC"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that each data subject has rights. Consent can be withdrawn at any time (to somethings)</w:t>
      </w:r>
    </w:p>
    <w:p w14:paraId="63C81FB0" w14:textId="33E66201"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a right to request rectification, erasure or to limit or stop</w:t>
      </w:r>
      <w:r w:rsidRPr="00920EDB">
        <w:rPr>
          <w:rFonts w:asciiTheme="minorHAnsi" w:eastAsia="Microsoft GothicNeo" w:hAnsiTheme="minorHAnsi" w:cstheme="minorHAnsi"/>
          <w:spacing w:val="-23"/>
        </w:rPr>
        <w:t xml:space="preserve"> </w:t>
      </w:r>
      <w:r w:rsidRPr="00920EDB">
        <w:rPr>
          <w:rFonts w:asciiTheme="minorHAnsi" w:eastAsia="Microsoft GothicNeo" w:hAnsiTheme="minorHAnsi" w:cstheme="minorHAnsi"/>
        </w:rPr>
        <w:t>processing</w:t>
      </w:r>
    </w:p>
    <w:p w14:paraId="0F74865F" w14:textId="4F0525D7" w:rsidR="00D513DE" w:rsidRPr="00920EDB" w:rsidRDefault="00D513DE" w:rsidP="00D513DE">
      <w:pPr>
        <w:pStyle w:val="ListParagraph"/>
        <w:numPr>
          <w:ilvl w:val="0"/>
          <w:numId w:val="4"/>
        </w:numPr>
        <w:rPr>
          <w:rFonts w:asciiTheme="minorHAnsi" w:eastAsia="Microsoft GothicNeo" w:hAnsiTheme="minorHAnsi" w:cstheme="minorHAnsi"/>
        </w:rPr>
      </w:pPr>
      <w:r w:rsidRPr="00920EDB">
        <w:rPr>
          <w:rFonts w:asciiTheme="minorHAnsi" w:eastAsia="Microsoft GothicNeo" w:hAnsiTheme="minorHAnsi" w:cstheme="minorHAnsi"/>
        </w:rPr>
        <w:t>a right to</w:t>
      </w:r>
      <w:r w:rsidRPr="00920EDB">
        <w:rPr>
          <w:rFonts w:asciiTheme="minorHAnsi" w:eastAsia="Microsoft GothicNeo" w:hAnsiTheme="minorHAnsi" w:cstheme="minorHAnsi"/>
          <w:spacing w:val="-5"/>
        </w:rPr>
        <w:t xml:space="preserve"> </w:t>
      </w:r>
      <w:r w:rsidRPr="00920EDB">
        <w:rPr>
          <w:rFonts w:asciiTheme="minorHAnsi" w:eastAsia="Microsoft GothicNeo" w:hAnsiTheme="minorHAnsi" w:cstheme="minorHAnsi"/>
        </w:rPr>
        <w:t>complain</w:t>
      </w:r>
    </w:p>
    <w:p w14:paraId="04539F6A" w14:textId="1F4E7A1F"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Much of this will be contained within the privacy notices on the website.</w:t>
      </w:r>
    </w:p>
    <w:p w14:paraId="5E15C3EB" w14:textId="4A481180" w:rsidR="00920EDB" w:rsidRDefault="00920EDB" w:rsidP="00D513DE">
      <w:pPr>
        <w:rPr>
          <w:rFonts w:asciiTheme="minorHAnsi" w:hAnsiTheme="minorHAnsi" w:cstheme="minorHAnsi"/>
          <w:sz w:val="22"/>
        </w:rPr>
      </w:pPr>
      <w:r w:rsidRPr="00920EDB">
        <w:rPr>
          <w:rFonts w:asciiTheme="minorHAnsi" w:hAnsiTheme="minorHAnsi" w:cstheme="minorHAnsi"/>
          <w:sz w:val="22"/>
          <w:highlight w:val="yellow"/>
        </w:rPr>
        <w:t>Information will typically be provided in electronic format within one calendar month of receiving a valid request. However, in certain circumstances</w:t>
      </w:r>
      <w:r>
        <w:rPr>
          <w:rFonts w:asciiTheme="minorHAnsi" w:hAnsiTheme="minorHAnsi" w:cstheme="minorHAnsi"/>
          <w:sz w:val="22"/>
          <w:highlight w:val="yellow"/>
        </w:rPr>
        <w:t xml:space="preserve"> </w:t>
      </w:r>
      <w:r w:rsidRPr="00920EDB">
        <w:rPr>
          <w:rFonts w:asciiTheme="minorHAnsi" w:hAnsiTheme="minorHAnsi" w:cstheme="minorHAnsi"/>
          <w:sz w:val="22"/>
          <w:highlight w:val="yellow"/>
        </w:rPr>
        <w:t>such as during school holidays when staff availability and access to systems are limited</w:t>
      </w:r>
      <w:r>
        <w:rPr>
          <w:rFonts w:asciiTheme="minorHAnsi" w:hAnsiTheme="minorHAnsi" w:cstheme="minorHAnsi"/>
          <w:sz w:val="22"/>
          <w:highlight w:val="yellow"/>
        </w:rPr>
        <w:t xml:space="preserve">, </w:t>
      </w:r>
      <w:r w:rsidRPr="00920EDB">
        <w:rPr>
          <w:rFonts w:asciiTheme="minorHAnsi" w:hAnsiTheme="minorHAnsi" w:cstheme="minorHAnsi"/>
          <w:sz w:val="22"/>
          <w:highlight w:val="yellow"/>
        </w:rPr>
        <w:t>this timeframe may be extended by up to an additional calendar month. This extension reflects the complexity of processing requests during periods of closure.</w:t>
      </w:r>
    </w:p>
    <w:p w14:paraId="771C3D70" w14:textId="125C79AC" w:rsidR="00D513DE" w:rsidRPr="00920EDB" w:rsidRDefault="00D513DE" w:rsidP="00D513DE">
      <w:pPr>
        <w:rPr>
          <w:rFonts w:asciiTheme="minorHAnsi" w:hAnsiTheme="minorHAnsi" w:cstheme="minorHAnsi"/>
          <w:sz w:val="22"/>
        </w:rPr>
      </w:pPr>
      <w:r w:rsidRPr="00920EDB">
        <w:rPr>
          <w:rFonts w:asciiTheme="minorHAnsi" w:hAnsiTheme="minorHAnsi" w:cstheme="minorHAnsi"/>
          <w:sz w:val="22"/>
        </w:rPr>
        <w:t xml:space="preserve">Following delivery of the information the requester has the right to ask for a review or use the </w:t>
      </w:r>
      <w:r w:rsidR="00920EDB">
        <w:rPr>
          <w:rFonts w:asciiTheme="minorHAnsi" w:hAnsiTheme="minorHAnsi" w:cstheme="minorHAnsi"/>
          <w:sz w:val="22"/>
        </w:rPr>
        <w:t xml:space="preserve">dedicated </w:t>
      </w:r>
      <w:r w:rsidRPr="00920EDB">
        <w:rPr>
          <w:rFonts w:asciiTheme="minorHAnsi" w:hAnsiTheme="minorHAnsi" w:cstheme="minorHAnsi"/>
          <w:sz w:val="22"/>
        </w:rPr>
        <w:t>complaint process if they feel that information has not been provided.</w:t>
      </w:r>
    </w:p>
    <w:p w14:paraId="1E1175A5" w14:textId="6B060E9B" w:rsidR="00D513DE" w:rsidRPr="006A5CFA" w:rsidRDefault="00920EDB" w:rsidP="00920EDB">
      <w:pPr>
        <w:pStyle w:val="Heading1"/>
        <w:rPr>
          <w:rFonts w:asciiTheme="minorHAnsi" w:hAnsiTheme="minorHAnsi" w:cstheme="minorHAnsi"/>
          <w:sz w:val="22"/>
          <w:szCs w:val="22"/>
          <w:highlight w:val="yellow"/>
        </w:rPr>
      </w:pPr>
      <w:r w:rsidRPr="006A5CFA">
        <w:rPr>
          <w:rFonts w:asciiTheme="minorHAnsi" w:hAnsiTheme="minorHAnsi" w:cstheme="minorHAnsi"/>
          <w:sz w:val="22"/>
          <w:szCs w:val="22"/>
          <w:highlight w:val="yellow"/>
        </w:rPr>
        <w:lastRenderedPageBreak/>
        <w:t>Appendix 1 – managing proportionate and reasonable searches</w:t>
      </w:r>
    </w:p>
    <w:p w14:paraId="37333EC0" w14:textId="56DF580E" w:rsidR="00920EDB" w:rsidRPr="006A5CFA" w:rsidRDefault="00920EDB" w:rsidP="00920EDB">
      <w:pPr>
        <w:rPr>
          <w:rFonts w:ascii="Calibri" w:hAnsi="Calibri" w:cs="Calibri"/>
          <w:sz w:val="22"/>
          <w:highlight w:val="yellow"/>
          <w:lang w:val="en-US"/>
        </w:rPr>
      </w:pPr>
      <w:r w:rsidRPr="006A5CFA">
        <w:rPr>
          <w:rFonts w:ascii="Calibri" w:hAnsi="Calibri" w:cs="Calibri"/>
          <w:sz w:val="22"/>
          <w:highlight w:val="yellow"/>
          <w:lang w:val="en-US"/>
        </w:rPr>
        <w:t>The DUAA explicitly states that organisations are only required to conduct a "reasonable and proportionate" search for personal data. This formalises a principle that was previously guided by the Information Commissioner's Office (ICO) but lacked a clear statutory definition.</w:t>
      </w:r>
    </w:p>
    <w:p w14:paraId="6FFC4AF9" w14:textId="40097EE9" w:rsidR="008605B8" w:rsidRPr="006A5CFA" w:rsidRDefault="00920EDB" w:rsidP="008605B8">
      <w:pPr>
        <w:rPr>
          <w:rFonts w:ascii="Calibri" w:hAnsi="Calibri" w:cs="Calibri"/>
          <w:sz w:val="22"/>
          <w:highlight w:val="yellow"/>
          <w:lang w:val="en-US"/>
        </w:rPr>
      </w:pPr>
      <w:r w:rsidRPr="006A5CFA">
        <w:rPr>
          <w:rFonts w:ascii="Calibri" w:hAnsi="Calibri" w:cs="Calibri"/>
          <w:sz w:val="22"/>
          <w:highlight w:val="yellow"/>
          <w:lang w:val="en-US"/>
        </w:rPr>
        <w:t xml:space="preserve">Whilst a legal definition is not </w:t>
      </w:r>
      <w:r w:rsidR="008605B8" w:rsidRPr="006A5CFA">
        <w:rPr>
          <w:rFonts w:ascii="Calibri" w:hAnsi="Calibri" w:cs="Calibri"/>
          <w:sz w:val="22"/>
          <w:highlight w:val="yellow"/>
          <w:lang w:val="en-US"/>
        </w:rPr>
        <w:t xml:space="preserve">provided, the </w:t>
      </w:r>
      <w:r w:rsidR="008605B8" w:rsidRPr="006A5CFA">
        <w:rPr>
          <w:rFonts w:ascii="Calibri" w:hAnsi="Calibri" w:cs="Calibri"/>
          <w:color w:val="EE0000"/>
          <w:sz w:val="22"/>
          <w:highlight w:val="yellow"/>
          <w:lang w:val="en-US"/>
        </w:rPr>
        <w:t xml:space="preserve">trust/school/academy </w:t>
      </w:r>
      <w:r w:rsidR="008605B8" w:rsidRPr="006A5CFA">
        <w:rPr>
          <w:rFonts w:ascii="Calibri" w:hAnsi="Calibri" w:cs="Calibri"/>
          <w:sz w:val="22"/>
          <w:highlight w:val="yellow"/>
          <w:lang w:val="en-US"/>
        </w:rPr>
        <w:t xml:space="preserve">considers a "reasonable and proportionate" search to strike a balance between the data subject's right to access their personal data and the administrative burden placed on the organisation. The </w:t>
      </w:r>
      <w:r w:rsidR="008605B8" w:rsidRPr="006A5CFA">
        <w:rPr>
          <w:rFonts w:ascii="Calibri" w:hAnsi="Calibri" w:cs="Calibri"/>
          <w:color w:val="EE0000"/>
          <w:sz w:val="22"/>
          <w:highlight w:val="yellow"/>
          <w:lang w:val="en-US"/>
        </w:rPr>
        <w:t xml:space="preserve">trust/school/academy </w:t>
      </w:r>
      <w:r w:rsidR="008605B8" w:rsidRPr="006A5CFA">
        <w:rPr>
          <w:rFonts w:ascii="Calibri" w:hAnsi="Calibri" w:cs="Calibri"/>
          <w:sz w:val="22"/>
          <w:highlight w:val="yellow"/>
          <w:lang w:val="en-US"/>
        </w:rPr>
        <w:t xml:space="preserve">will undertake a search with the utmost effort to locate and provide the personal data requested but an ‘every stone turned’ search will not be completed due to the excessive and undue burden this causes. </w:t>
      </w:r>
    </w:p>
    <w:p w14:paraId="1ADC93FB" w14:textId="26E52D47" w:rsidR="008605B8" w:rsidRPr="006A5CFA" w:rsidRDefault="008605B8" w:rsidP="008605B8">
      <w:pPr>
        <w:rPr>
          <w:rFonts w:ascii="Calibri" w:hAnsi="Calibri" w:cs="Calibri"/>
          <w:sz w:val="22"/>
          <w:highlight w:val="yellow"/>
          <w:lang w:val="en-US"/>
        </w:rPr>
      </w:pPr>
      <w:r w:rsidRPr="006A5CFA">
        <w:rPr>
          <w:rFonts w:ascii="Calibri" w:hAnsi="Calibri" w:cs="Calibri"/>
          <w:sz w:val="22"/>
          <w:highlight w:val="yellow"/>
          <w:lang w:val="en-US"/>
        </w:rPr>
        <w:t xml:space="preserve">We will actively engage with the requester </w:t>
      </w:r>
      <w:r w:rsidR="006A5CFA" w:rsidRPr="006A5CFA">
        <w:rPr>
          <w:rFonts w:ascii="Calibri" w:hAnsi="Calibri" w:cs="Calibri"/>
          <w:sz w:val="22"/>
          <w:highlight w:val="yellow"/>
          <w:lang w:val="en-US"/>
        </w:rPr>
        <w:t xml:space="preserve">to clarify and narrow the scope to ensure the search falls under the remit of the proportionate and reasonable search. During this time where clarification is being sought, the one calendar month timeframe to respond is paused until confirmation of the scope is agreed. </w:t>
      </w:r>
    </w:p>
    <w:p w14:paraId="5B70A6B9" w14:textId="3ABBBE4E" w:rsidR="008605B8" w:rsidRPr="006A5CFA" w:rsidRDefault="008605B8" w:rsidP="008605B8">
      <w:pPr>
        <w:rPr>
          <w:rFonts w:ascii="Calibri" w:hAnsi="Calibri" w:cs="Calibri"/>
          <w:sz w:val="22"/>
          <w:highlight w:val="yellow"/>
          <w:lang w:val="en-US"/>
        </w:rPr>
      </w:pPr>
      <w:r w:rsidRPr="006A5CFA">
        <w:rPr>
          <w:rFonts w:ascii="Calibri" w:hAnsi="Calibri" w:cs="Calibri"/>
          <w:sz w:val="22"/>
          <w:highlight w:val="yellow"/>
          <w:lang w:val="en-US"/>
        </w:rPr>
        <w:t xml:space="preserve">When considering whether a search is proportionate and reasonable the </w:t>
      </w:r>
      <w:r w:rsidRPr="006A5CFA">
        <w:rPr>
          <w:rFonts w:ascii="Calibri" w:hAnsi="Calibri" w:cs="Calibri"/>
          <w:color w:val="EE0000"/>
          <w:sz w:val="22"/>
          <w:highlight w:val="yellow"/>
          <w:lang w:val="en-US"/>
        </w:rPr>
        <w:t xml:space="preserve">trust/school/academy </w:t>
      </w:r>
      <w:r w:rsidRPr="006A5CFA">
        <w:rPr>
          <w:rFonts w:ascii="Calibri" w:hAnsi="Calibri" w:cs="Calibri"/>
          <w:sz w:val="22"/>
          <w:highlight w:val="yellow"/>
          <w:lang w:val="en-US"/>
        </w:rPr>
        <w:t>will assess:</w:t>
      </w:r>
    </w:p>
    <w:p w14:paraId="11E8A2DE" w14:textId="40E6B98B" w:rsidR="008605B8" w:rsidRPr="006A5CFA" w:rsidRDefault="008605B8" w:rsidP="008605B8">
      <w:pPr>
        <w:pStyle w:val="ListParagraph"/>
        <w:numPr>
          <w:ilvl w:val="0"/>
          <w:numId w:val="5"/>
        </w:numPr>
        <w:rPr>
          <w:highlight w:val="yellow"/>
        </w:rPr>
      </w:pPr>
      <w:r w:rsidRPr="006A5CFA">
        <w:rPr>
          <w:highlight w:val="yellow"/>
        </w:rPr>
        <w:t>the nature and scope of the request</w:t>
      </w:r>
    </w:p>
    <w:p w14:paraId="461A6C1E" w14:textId="2153141D" w:rsidR="008605B8" w:rsidRPr="006A5CFA" w:rsidRDefault="008605B8" w:rsidP="008605B8">
      <w:pPr>
        <w:pStyle w:val="ListParagraph"/>
        <w:numPr>
          <w:ilvl w:val="0"/>
          <w:numId w:val="5"/>
        </w:numPr>
        <w:rPr>
          <w:highlight w:val="yellow"/>
        </w:rPr>
      </w:pPr>
      <w:r w:rsidRPr="006A5CFA">
        <w:rPr>
          <w:highlight w:val="yellow"/>
        </w:rPr>
        <w:t>context of the request</w:t>
      </w:r>
    </w:p>
    <w:p w14:paraId="63BD77FE" w14:textId="3C7D92A8" w:rsidR="008605B8" w:rsidRPr="006A5CFA" w:rsidRDefault="008605B8" w:rsidP="008605B8">
      <w:pPr>
        <w:pStyle w:val="ListParagraph"/>
        <w:numPr>
          <w:ilvl w:val="0"/>
          <w:numId w:val="5"/>
        </w:numPr>
        <w:rPr>
          <w:highlight w:val="yellow"/>
        </w:rPr>
      </w:pPr>
      <w:r w:rsidRPr="006A5CFA">
        <w:rPr>
          <w:highlight w:val="yellow"/>
        </w:rPr>
        <w:t>volume of information held</w:t>
      </w:r>
    </w:p>
    <w:p w14:paraId="3C33247B" w14:textId="2BA5B067" w:rsidR="008605B8" w:rsidRPr="006A5CFA" w:rsidRDefault="008605B8" w:rsidP="008605B8">
      <w:pPr>
        <w:pStyle w:val="ListParagraph"/>
        <w:numPr>
          <w:ilvl w:val="0"/>
          <w:numId w:val="5"/>
        </w:numPr>
        <w:rPr>
          <w:highlight w:val="yellow"/>
        </w:rPr>
      </w:pPr>
      <w:r w:rsidRPr="006A5CFA">
        <w:rPr>
          <w:highlight w:val="yellow"/>
        </w:rPr>
        <w:t>availability of data</w:t>
      </w:r>
    </w:p>
    <w:p w14:paraId="0A0A6667" w14:textId="23B4B7AD" w:rsidR="008605B8" w:rsidRPr="006A5CFA" w:rsidRDefault="008605B8" w:rsidP="008605B8">
      <w:pPr>
        <w:pStyle w:val="ListParagraph"/>
        <w:numPr>
          <w:ilvl w:val="0"/>
          <w:numId w:val="5"/>
        </w:numPr>
        <w:rPr>
          <w:highlight w:val="yellow"/>
        </w:rPr>
      </w:pPr>
      <w:r w:rsidRPr="006A5CFA">
        <w:rPr>
          <w:highlight w:val="yellow"/>
        </w:rPr>
        <w:t xml:space="preserve">resources available </w:t>
      </w:r>
    </w:p>
    <w:p w14:paraId="3142B281" w14:textId="65CCA1CF" w:rsidR="006A5CFA" w:rsidRPr="006A5CFA" w:rsidRDefault="008605B8" w:rsidP="006A5CFA">
      <w:pPr>
        <w:pStyle w:val="ListParagraph"/>
        <w:numPr>
          <w:ilvl w:val="0"/>
          <w:numId w:val="5"/>
        </w:numPr>
        <w:rPr>
          <w:highlight w:val="yellow"/>
        </w:rPr>
      </w:pPr>
      <w:r w:rsidRPr="006A5CFA">
        <w:rPr>
          <w:highlight w:val="yellow"/>
        </w:rPr>
        <w:t>impact on the data subject</w:t>
      </w:r>
    </w:p>
    <w:p w14:paraId="204E92E3" w14:textId="4E0463A6" w:rsidR="006A5CFA" w:rsidRPr="006A5CFA" w:rsidRDefault="006A5CFA" w:rsidP="006A5CFA">
      <w:pPr>
        <w:rPr>
          <w:rFonts w:ascii="Calibri" w:hAnsi="Calibri" w:cs="Calibri"/>
          <w:sz w:val="22"/>
          <w:lang w:val="en-US"/>
        </w:rPr>
      </w:pPr>
      <w:r w:rsidRPr="006A5CFA">
        <w:rPr>
          <w:rFonts w:ascii="Calibri" w:hAnsi="Calibri" w:cs="Calibri"/>
          <w:sz w:val="22"/>
          <w:highlight w:val="yellow"/>
          <w:lang w:val="en-US"/>
        </w:rPr>
        <w:t>We will seek support and advice from our external data protection officer and ensure all decisions relating to deeming a request unreasonable and disproportionate are accurately recorded.</w:t>
      </w:r>
    </w:p>
    <w:p w14:paraId="6DB4E10F" w14:textId="77777777" w:rsidR="006A5CFA" w:rsidRPr="00920EDB" w:rsidRDefault="006A5CFA" w:rsidP="006A5CFA">
      <w:pPr>
        <w:ind w:left="0"/>
      </w:pPr>
    </w:p>
    <w:sectPr w:rsidR="006A5CFA" w:rsidRPr="00920E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CEBE" w14:textId="77777777" w:rsidR="0014185B" w:rsidRDefault="0014185B" w:rsidP="00D513DE">
      <w:pPr>
        <w:spacing w:before="0"/>
      </w:pPr>
      <w:r>
        <w:separator/>
      </w:r>
    </w:p>
  </w:endnote>
  <w:endnote w:type="continuationSeparator" w:id="0">
    <w:p w14:paraId="4C9D5597" w14:textId="77777777" w:rsidR="0014185B" w:rsidRDefault="0014185B" w:rsidP="00D513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1510834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0D222DE" w14:textId="4FFA357F" w:rsidR="00D513DE" w:rsidRPr="00D513DE" w:rsidRDefault="00D513DE">
            <w:pPr>
              <w:pStyle w:val="Footer"/>
              <w:jc w:val="right"/>
              <w:rPr>
                <w:sz w:val="18"/>
                <w:szCs w:val="18"/>
              </w:rPr>
            </w:pPr>
            <w:r w:rsidRPr="00D513DE">
              <w:rPr>
                <w:sz w:val="18"/>
                <w:szCs w:val="18"/>
              </w:rPr>
              <w:t xml:space="preserve">Page </w:t>
            </w:r>
            <w:r w:rsidRPr="00D513DE">
              <w:rPr>
                <w:b/>
                <w:bCs/>
                <w:sz w:val="18"/>
                <w:szCs w:val="18"/>
              </w:rPr>
              <w:fldChar w:fldCharType="begin"/>
            </w:r>
            <w:r w:rsidRPr="00D513DE">
              <w:rPr>
                <w:b/>
                <w:bCs/>
                <w:sz w:val="18"/>
                <w:szCs w:val="18"/>
              </w:rPr>
              <w:instrText xml:space="preserve"> PAGE </w:instrText>
            </w:r>
            <w:r w:rsidRPr="00D513DE">
              <w:rPr>
                <w:b/>
                <w:bCs/>
                <w:sz w:val="18"/>
                <w:szCs w:val="18"/>
              </w:rPr>
              <w:fldChar w:fldCharType="separate"/>
            </w:r>
            <w:r w:rsidRPr="00D513DE">
              <w:rPr>
                <w:b/>
                <w:bCs/>
                <w:noProof/>
                <w:sz w:val="18"/>
                <w:szCs w:val="18"/>
              </w:rPr>
              <w:t>2</w:t>
            </w:r>
            <w:r w:rsidRPr="00D513DE">
              <w:rPr>
                <w:b/>
                <w:bCs/>
                <w:sz w:val="18"/>
                <w:szCs w:val="18"/>
              </w:rPr>
              <w:fldChar w:fldCharType="end"/>
            </w:r>
            <w:r w:rsidRPr="00D513DE">
              <w:rPr>
                <w:sz w:val="18"/>
                <w:szCs w:val="18"/>
              </w:rPr>
              <w:t xml:space="preserve"> of </w:t>
            </w:r>
            <w:r w:rsidRPr="00D513DE">
              <w:rPr>
                <w:b/>
                <w:bCs/>
                <w:sz w:val="18"/>
                <w:szCs w:val="18"/>
              </w:rPr>
              <w:fldChar w:fldCharType="begin"/>
            </w:r>
            <w:r w:rsidRPr="00D513DE">
              <w:rPr>
                <w:b/>
                <w:bCs/>
                <w:sz w:val="18"/>
                <w:szCs w:val="18"/>
              </w:rPr>
              <w:instrText xml:space="preserve"> NUMPAGES  </w:instrText>
            </w:r>
            <w:r w:rsidRPr="00D513DE">
              <w:rPr>
                <w:b/>
                <w:bCs/>
                <w:sz w:val="18"/>
                <w:szCs w:val="18"/>
              </w:rPr>
              <w:fldChar w:fldCharType="separate"/>
            </w:r>
            <w:r w:rsidRPr="00D513DE">
              <w:rPr>
                <w:b/>
                <w:bCs/>
                <w:noProof/>
                <w:sz w:val="18"/>
                <w:szCs w:val="18"/>
              </w:rPr>
              <w:t>2</w:t>
            </w:r>
            <w:r w:rsidRPr="00D513DE">
              <w:rPr>
                <w:b/>
                <w:bCs/>
                <w:sz w:val="18"/>
                <w:szCs w:val="18"/>
              </w:rPr>
              <w:fldChar w:fldCharType="end"/>
            </w:r>
          </w:p>
        </w:sdtContent>
      </w:sdt>
    </w:sdtContent>
  </w:sdt>
  <w:p w14:paraId="6AB0D69F" w14:textId="77777777" w:rsidR="00D513DE" w:rsidRPr="00D513DE" w:rsidRDefault="00D513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897A" w14:textId="77777777" w:rsidR="0014185B" w:rsidRDefault="0014185B" w:rsidP="00D513DE">
      <w:pPr>
        <w:spacing w:before="0"/>
      </w:pPr>
      <w:r>
        <w:separator/>
      </w:r>
    </w:p>
  </w:footnote>
  <w:footnote w:type="continuationSeparator" w:id="0">
    <w:p w14:paraId="0211B958" w14:textId="77777777" w:rsidR="0014185B" w:rsidRDefault="0014185B" w:rsidP="00D513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4499" w14:textId="221F7240" w:rsidR="00A159BC" w:rsidRPr="00A159BC" w:rsidRDefault="00A159BC" w:rsidP="00A159BC">
    <w:pPr>
      <w:pStyle w:val="Header"/>
      <w:jc w:val="right"/>
      <w:rPr>
        <w:rFonts w:ascii="Calibri" w:hAnsi="Calibri" w:cs="Calibri"/>
        <w:i/>
        <w:iCs/>
        <w:sz w:val="22"/>
        <w:szCs w:val="20"/>
      </w:rPr>
    </w:pPr>
    <w:r>
      <w:rPr>
        <w:rFonts w:ascii="Calibri" w:hAnsi="Calibri" w:cs="Calibri"/>
        <w:i/>
        <w:iCs/>
        <w:sz w:val="22"/>
        <w:szCs w:val="20"/>
      </w:rPr>
      <w:t>Reviewed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941"/>
    <w:multiLevelType w:val="hybridMultilevel"/>
    <w:tmpl w:val="4404C4E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28756B6"/>
    <w:multiLevelType w:val="hybridMultilevel"/>
    <w:tmpl w:val="74CC5B4A"/>
    <w:lvl w:ilvl="0" w:tplc="AE8011E8">
      <w:numFmt w:val="bullet"/>
      <w:lvlText w:val="•"/>
      <w:lvlJc w:val="left"/>
      <w:pPr>
        <w:ind w:left="837" w:hanging="360"/>
      </w:pPr>
      <w:rPr>
        <w:rFonts w:ascii="Calibri" w:eastAsia="Calibri" w:hAnsi="Calibri" w:cs="Calibri" w:hint="default"/>
        <w:w w:val="100"/>
        <w:sz w:val="22"/>
        <w:szCs w:val="22"/>
      </w:rPr>
    </w:lvl>
    <w:lvl w:ilvl="1" w:tplc="54C2FFCA">
      <w:numFmt w:val="bullet"/>
      <w:lvlText w:val="•"/>
      <w:lvlJc w:val="left"/>
      <w:pPr>
        <w:ind w:left="1664" w:hanging="360"/>
      </w:pPr>
      <w:rPr>
        <w:rFonts w:hint="default"/>
      </w:rPr>
    </w:lvl>
    <w:lvl w:ilvl="2" w:tplc="7EC25EF6">
      <w:numFmt w:val="bullet"/>
      <w:lvlText w:val="•"/>
      <w:lvlJc w:val="left"/>
      <w:pPr>
        <w:ind w:left="2489" w:hanging="360"/>
      </w:pPr>
      <w:rPr>
        <w:rFonts w:hint="default"/>
      </w:rPr>
    </w:lvl>
    <w:lvl w:ilvl="3" w:tplc="5F0CD24C">
      <w:numFmt w:val="bullet"/>
      <w:lvlText w:val="•"/>
      <w:lvlJc w:val="left"/>
      <w:pPr>
        <w:ind w:left="3313" w:hanging="360"/>
      </w:pPr>
      <w:rPr>
        <w:rFonts w:hint="default"/>
      </w:rPr>
    </w:lvl>
    <w:lvl w:ilvl="4" w:tplc="54A0E6C4">
      <w:numFmt w:val="bullet"/>
      <w:lvlText w:val="•"/>
      <w:lvlJc w:val="left"/>
      <w:pPr>
        <w:ind w:left="4138" w:hanging="360"/>
      </w:pPr>
      <w:rPr>
        <w:rFonts w:hint="default"/>
      </w:rPr>
    </w:lvl>
    <w:lvl w:ilvl="5" w:tplc="732256EA">
      <w:numFmt w:val="bullet"/>
      <w:lvlText w:val="•"/>
      <w:lvlJc w:val="left"/>
      <w:pPr>
        <w:ind w:left="4963" w:hanging="360"/>
      </w:pPr>
      <w:rPr>
        <w:rFonts w:hint="default"/>
      </w:rPr>
    </w:lvl>
    <w:lvl w:ilvl="6" w:tplc="D55262D2">
      <w:numFmt w:val="bullet"/>
      <w:lvlText w:val="•"/>
      <w:lvlJc w:val="left"/>
      <w:pPr>
        <w:ind w:left="5787" w:hanging="360"/>
      </w:pPr>
      <w:rPr>
        <w:rFonts w:hint="default"/>
      </w:rPr>
    </w:lvl>
    <w:lvl w:ilvl="7" w:tplc="705C1DA8">
      <w:numFmt w:val="bullet"/>
      <w:lvlText w:val="•"/>
      <w:lvlJc w:val="left"/>
      <w:pPr>
        <w:ind w:left="6612" w:hanging="360"/>
      </w:pPr>
      <w:rPr>
        <w:rFonts w:hint="default"/>
      </w:rPr>
    </w:lvl>
    <w:lvl w:ilvl="8" w:tplc="048E019A">
      <w:numFmt w:val="bullet"/>
      <w:lvlText w:val="•"/>
      <w:lvlJc w:val="left"/>
      <w:pPr>
        <w:ind w:left="7437" w:hanging="360"/>
      </w:pPr>
      <w:rPr>
        <w:rFonts w:hint="default"/>
      </w:rPr>
    </w:lvl>
  </w:abstractNum>
  <w:abstractNum w:abstractNumId="2" w15:restartNumberingAfterBreak="0">
    <w:nsid w:val="27B343A2"/>
    <w:multiLevelType w:val="hybridMultilevel"/>
    <w:tmpl w:val="A336E5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4E2C35F4"/>
    <w:multiLevelType w:val="hybridMultilevel"/>
    <w:tmpl w:val="3EC0E0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76C0757A"/>
    <w:multiLevelType w:val="hybridMultilevel"/>
    <w:tmpl w:val="1C8446A4"/>
    <w:lvl w:ilvl="0" w:tplc="676AD9B0">
      <w:numFmt w:val="bullet"/>
      <w:lvlText w:val="•"/>
      <w:lvlJc w:val="left"/>
      <w:pPr>
        <w:ind w:left="1199" w:hanging="360"/>
      </w:pPr>
      <w:rPr>
        <w:rFonts w:ascii="Calibri" w:eastAsia="Calibri" w:hAnsi="Calibri" w:cs="Calibri" w:hint="default"/>
        <w:w w:val="100"/>
        <w:sz w:val="22"/>
        <w:szCs w:val="22"/>
      </w:rPr>
    </w:lvl>
    <w:lvl w:ilvl="1" w:tplc="DBCE2EC4">
      <w:numFmt w:val="bullet"/>
      <w:lvlText w:val="•"/>
      <w:lvlJc w:val="left"/>
      <w:pPr>
        <w:ind w:left="1988" w:hanging="360"/>
      </w:pPr>
      <w:rPr>
        <w:rFonts w:hint="default"/>
      </w:rPr>
    </w:lvl>
    <w:lvl w:ilvl="2" w:tplc="8C644510">
      <w:numFmt w:val="bullet"/>
      <w:lvlText w:val="•"/>
      <w:lvlJc w:val="left"/>
      <w:pPr>
        <w:ind w:left="2777" w:hanging="360"/>
      </w:pPr>
      <w:rPr>
        <w:rFonts w:hint="default"/>
      </w:rPr>
    </w:lvl>
    <w:lvl w:ilvl="3" w:tplc="0298D7EE">
      <w:numFmt w:val="bullet"/>
      <w:lvlText w:val="•"/>
      <w:lvlJc w:val="left"/>
      <w:pPr>
        <w:ind w:left="3565" w:hanging="360"/>
      </w:pPr>
      <w:rPr>
        <w:rFonts w:hint="default"/>
      </w:rPr>
    </w:lvl>
    <w:lvl w:ilvl="4" w:tplc="79449D70">
      <w:numFmt w:val="bullet"/>
      <w:lvlText w:val="•"/>
      <w:lvlJc w:val="left"/>
      <w:pPr>
        <w:ind w:left="4354" w:hanging="360"/>
      </w:pPr>
      <w:rPr>
        <w:rFonts w:hint="default"/>
      </w:rPr>
    </w:lvl>
    <w:lvl w:ilvl="5" w:tplc="7480C852">
      <w:numFmt w:val="bullet"/>
      <w:lvlText w:val="•"/>
      <w:lvlJc w:val="left"/>
      <w:pPr>
        <w:ind w:left="5143" w:hanging="360"/>
      </w:pPr>
      <w:rPr>
        <w:rFonts w:hint="default"/>
      </w:rPr>
    </w:lvl>
    <w:lvl w:ilvl="6" w:tplc="8DE4C7FE">
      <w:numFmt w:val="bullet"/>
      <w:lvlText w:val="•"/>
      <w:lvlJc w:val="left"/>
      <w:pPr>
        <w:ind w:left="5931" w:hanging="360"/>
      </w:pPr>
      <w:rPr>
        <w:rFonts w:hint="default"/>
      </w:rPr>
    </w:lvl>
    <w:lvl w:ilvl="7" w:tplc="E646B36A">
      <w:numFmt w:val="bullet"/>
      <w:lvlText w:val="•"/>
      <w:lvlJc w:val="left"/>
      <w:pPr>
        <w:ind w:left="6720" w:hanging="360"/>
      </w:pPr>
      <w:rPr>
        <w:rFonts w:hint="default"/>
      </w:rPr>
    </w:lvl>
    <w:lvl w:ilvl="8" w:tplc="955A2A8A">
      <w:numFmt w:val="bullet"/>
      <w:lvlText w:val="•"/>
      <w:lvlJc w:val="left"/>
      <w:pPr>
        <w:ind w:left="7509"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DE"/>
    <w:rsid w:val="0014185B"/>
    <w:rsid w:val="005B650C"/>
    <w:rsid w:val="006A5CFA"/>
    <w:rsid w:val="007B737F"/>
    <w:rsid w:val="008605B8"/>
    <w:rsid w:val="00920EDB"/>
    <w:rsid w:val="00A159BC"/>
    <w:rsid w:val="00AF7C23"/>
    <w:rsid w:val="00C02DAA"/>
    <w:rsid w:val="00C52D9C"/>
    <w:rsid w:val="00D27E38"/>
    <w:rsid w:val="00D3238D"/>
    <w:rsid w:val="00D51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852A"/>
  <w15:chartTrackingRefBased/>
  <w15:docId w15:val="{CE4A8C63-F346-46EA-BADE-55825FE3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D513DE"/>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autoRedefine/>
    <w:uiPriority w:val="9"/>
    <w:unhideWhenUsed/>
    <w:qFormat/>
    <w:rsid w:val="00C52D9C"/>
    <w:pPr>
      <w:keepNext/>
      <w:keepLines/>
      <w:outlineLvl w:val="1"/>
    </w:pPr>
    <w:rPr>
      <w:rFonts w:eastAsia="Microsoft GothicNeo"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3DE"/>
    <w:rPr>
      <w:rFonts w:ascii="Microsoft GothicNeo" w:eastAsiaTheme="majorEastAsia" w:hAnsi="Microsoft GothicNeo" w:cstheme="majorBidi"/>
      <w:b/>
      <w:bCs w:val="0"/>
      <w:color w:val="auto"/>
      <w:kern w:val="0"/>
      <w:sz w:val="28"/>
      <w14:ligatures w14:val="none"/>
    </w:rPr>
  </w:style>
  <w:style w:type="character" w:customStyle="1" w:styleId="Heading2Char">
    <w:name w:val="Heading 2 Char"/>
    <w:basedOn w:val="DefaultParagraphFont"/>
    <w:link w:val="Heading2"/>
    <w:uiPriority w:val="9"/>
    <w:rsid w:val="00C52D9C"/>
    <w:rPr>
      <w:rFonts w:ascii="Microsoft GothicNeo" w:eastAsia="Microsoft GothicNeo" w:hAnsi="Microsoft GothicNeo" w:cstheme="majorBidi"/>
      <w:b/>
      <w:bCs w:val="0"/>
      <w:color w:val="auto"/>
      <w:kern w:val="0"/>
      <w:szCs w:val="26"/>
      <w14:ligatures w14:val="none"/>
    </w:rPr>
  </w:style>
  <w:style w:type="paragraph" w:styleId="BodyText">
    <w:name w:val="Body Text"/>
    <w:basedOn w:val="Normal"/>
    <w:link w:val="BodyTextChar"/>
    <w:uiPriority w:val="1"/>
    <w:qFormat/>
    <w:rsid w:val="00D513DE"/>
    <w:pPr>
      <w:widowControl w:val="0"/>
      <w:autoSpaceDE w:val="0"/>
      <w:autoSpaceDN w:val="0"/>
      <w:spacing w:before="21"/>
      <w:ind w:left="1198" w:hanging="360"/>
    </w:pPr>
    <w:rPr>
      <w:rFonts w:ascii="Calibri" w:eastAsia="Calibri" w:hAnsi="Calibri" w:cs="Calibri"/>
      <w:sz w:val="22"/>
      <w:lang w:val="en-US"/>
    </w:rPr>
  </w:style>
  <w:style w:type="character" w:customStyle="1" w:styleId="BodyTextChar">
    <w:name w:val="Body Text Char"/>
    <w:basedOn w:val="DefaultParagraphFont"/>
    <w:link w:val="BodyText"/>
    <w:uiPriority w:val="1"/>
    <w:rsid w:val="00D513DE"/>
    <w:rPr>
      <w:rFonts w:ascii="Calibri" w:eastAsia="Calibri" w:hAnsi="Calibri" w:cs="Calibri"/>
      <w:bCs w:val="0"/>
      <w:color w:val="auto"/>
      <w:kern w:val="0"/>
      <w:sz w:val="22"/>
      <w:szCs w:val="22"/>
      <w:lang w:val="en-US"/>
      <w14:ligatures w14:val="none"/>
    </w:rPr>
  </w:style>
  <w:style w:type="paragraph" w:styleId="ListParagraph">
    <w:name w:val="List Paragraph"/>
    <w:basedOn w:val="Normal"/>
    <w:uiPriority w:val="1"/>
    <w:qFormat/>
    <w:rsid w:val="00D513DE"/>
    <w:pPr>
      <w:widowControl w:val="0"/>
      <w:autoSpaceDE w:val="0"/>
      <w:autoSpaceDN w:val="0"/>
      <w:spacing w:before="21"/>
      <w:ind w:left="1198" w:hanging="360"/>
    </w:pPr>
    <w:rPr>
      <w:rFonts w:ascii="Calibri" w:eastAsia="Calibri" w:hAnsi="Calibri" w:cs="Calibri"/>
      <w:sz w:val="22"/>
      <w:lang w:val="en-US"/>
    </w:rPr>
  </w:style>
  <w:style w:type="paragraph" w:styleId="Header">
    <w:name w:val="header"/>
    <w:basedOn w:val="Normal"/>
    <w:link w:val="HeaderChar"/>
    <w:uiPriority w:val="99"/>
    <w:unhideWhenUsed/>
    <w:rsid w:val="00D513DE"/>
    <w:pPr>
      <w:tabs>
        <w:tab w:val="center" w:pos="4513"/>
        <w:tab w:val="right" w:pos="9026"/>
      </w:tabs>
      <w:spacing w:before="0"/>
    </w:pPr>
  </w:style>
  <w:style w:type="character" w:customStyle="1" w:styleId="HeaderChar">
    <w:name w:val="Header Char"/>
    <w:basedOn w:val="DefaultParagraphFont"/>
    <w:link w:val="Header"/>
    <w:uiPriority w:val="99"/>
    <w:rsid w:val="00D513DE"/>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D513DE"/>
    <w:pPr>
      <w:tabs>
        <w:tab w:val="center" w:pos="4513"/>
        <w:tab w:val="right" w:pos="9026"/>
      </w:tabs>
      <w:spacing w:before="0"/>
    </w:pPr>
  </w:style>
  <w:style w:type="character" w:customStyle="1" w:styleId="FooterChar">
    <w:name w:val="Footer Char"/>
    <w:basedOn w:val="DefaultParagraphFont"/>
    <w:link w:val="Footer"/>
    <w:uiPriority w:val="99"/>
    <w:rsid w:val="00D513DE"/>
    <w:rPr>
      <w:rFonts w:ascii="Microsoft GothicNeo" w:hAnsi="Microsoft GothicNeo" w:cstheme="minorBidi"/>
      <w:bCs w:val="0"/>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4" ma:contentTypeDescription="Create a new document." ma:contentTypeScope="" ma:versionID="2cba8b9b4ef49450a826278c9c02a4b6">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1e8a946c972f8f4ba3111142173ff03e"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9548B-18B0-4B59-84D3-49AA3247B46C}">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5186a6-2355-4173-9394-92bec8426090"/>
    <ds:schemaRef ds:uri="http://purl.org/dc/terms/"/>
    <ds:schemaRef ds:uri="7bf81534-4943-4c2b-b33e-f16752562465"/>
    <ds:schemaRef ds:uri="http://www.w3.org/XML/1998/namespace"/>
    <ds:schemaRef ds:uri="http://purl.org/dc/dcmitype/"/>
  </ds:schemaRefs>
</ds:datastoreItem>
</file>

<file path=customXml/itemProps2.xml><?xml version="1.0" encoding="utf-8"?>
<ds:datastoreItem xmlns:ds="http://schemas.openxmlformats.org/officeDocument/2006/customXml" ds:itemID="{34FC9CA1-A926-4276-B89E-F16D3161F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F03E-0BB7-4D92-BF67-2FB014EA2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2025-12-04T14:35:00Z</dcterms:created>
  <dcterms:modified xsi:type="dcterms:W3CDTF">2025-12-04T14:35:00Z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y fmtid="{D5CDD505-2E9C-101B-9397-08002B2CF9AE}" pid="3" name="MediaServiceImageTags">
    <vt:lpwstr/>
  </property>
</Properties>
</file>